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9"/>
        <w:gridCol w:w="7600"/>
      </w:tblGrid>
      <w:tr w:rsidR="00C15762" w:rsidRPr="002D49D6" w:rsidTr="00F5352E">
        <w:tc>
          <w:tcPr>
            <w:tcW w:w="7109" w:type="dxa"/>
          </w:tcPr>
          <w:p w:rsidR="00C15762" w:rsidRPr="002D49D6" w:rsidRDefault="00C15762">
            <w:pPr>
              <w:rPr>
                <w:rFonts w:ascii="PT Astra Serif" w:hAnsi="PT Astra Serif"/>
              </w:rPr>
            </w:pPr>
          </w:p>
        </w:tc>
        <w:tc>
          <w:tcPr>
            <w:tcW w:w="7600" w:type="dxa"/>
          </w:tcPr>
          <w:p w:rsidR="00C15762" w:rsidRPr="002D49D6" w:rsidRDefault="00C15762" w:rsidP="00C15762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426CAC">
              <w:rPr>
                <w:rFonts w:ascii="PT Astra Serif" w:hAnsi="PT Astra Serif" w:cs="Times New Roman"/>
                <w:sz w:val="24"/>
                <w:szCs w:val="24"/>
              </w:rPr>
              <w:t xml:space="preserve">РИЛОЖЕНИЕ </w:t>
            </w:r>
            <w:r w:rsidRPr="002D49D6">
              <w:rPr>
                <w:rFonts w:ascii="PT Astra Serif" w:hAnsi="PT Astra Serif" w:cs="Times New Roman"/>
                <w:sz w:val="24"/>
                <w:szCs w:val="24"/>
              </w:rPr>
              <w:t>№1</w:t>
            </w:r>
          </w:p>
          <w:p w:rsidR="00C15762" w:rsidRPr="002D49D6" w:rsidRDefault="00C15762" w:rsidP="00C15762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15762" w:rsidRPr="002D49D6" w:rsidRDefault="00C15762" w:rsidP="00F5352E">
      <w:pPr>
        <w:pStyle w:val="western"/>
        <w:spacing w:after="0" w:line="240" w:lineRule="auto"/>
        <w:ind w:right="-598" w:firstLine="709"/>
        <w:contextualSpacing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C15762" w:rsidRPr="002D49D6" w:rsidRDefault="00C15762" w:rsidP="00F039D9">
      <w:pPr>
        <w:pStyle w:val="western"/>
        <w:spacing w:after="0" w:line="240" w:lineRule="auto"/>
        <w:ind w:firstLine="709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2D49D6">
        <w:rPr>
          <w:rFonts w:ascii="PT Astra Serif" w:hAnsi="PT Astra Serif" w:cs="Times New Roman"/>
          <w:bCs/>
          <w:sz w:val="24"/>
          <w:szCs w:val="24"/>
        </w:rPr>
        <w:t xml:space="preserve">Предложения общественного совета при </w:t>
      </w:r>
      <w:r w:rsidR="005A12E7">
        <w:rPr>
          <w:rFonts w:ascii="PT Astra Serif" w:hAnsi="PT Astra Serif" w:cs="Times New Roman"/>
          <w:bCs/>
          <w:sz w:val="24"/>
          <w:szCs w:val="24"/>
        </w:rPr>
        <w:t>министерстве</w:t>
      </w:r>
      <w:r w:rsidRPr="002D49D6">
        <w:rPr>
          <w:rFonts w:ascii="PT Astra Serif" w:hAnsi="PT Astra Serif" w:cs="Times New Roman"/>
          <w:bCs/>
          <w:sz w:val="24"/>
          <w:szCs w:val="24"/>
        </w:rPr>
        <w:t xml:space="preserve"> образования и науки Тамбовской области</w:t>
      </w:r>
    </w:p>
    <w:p w:rsidR="00F039D9" w:rsidRPr="002D49D6" w:rsidRDefault="00C15762" w:rsidP="00F039D9">
      <w:pPr>
        <w:pStyle w:val="western"/>
        <w:spacing w:after="0" w:line="240" w:lineRule="auto"/>
        <w:ind w:firstLine="709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Cs/>
          <w:sz w:val="24"/>
          <w:szCs w:val="24"/>
        </w:rPr>
        <w:t xml:space="preserve">по проведению </w:t>
      </w:r>
      <w:r w:rsidRPr="002D49D6">
        <w:rPr>
          <w:rFonts w:ascii="PT Astra Serif" w:hAnsi="PT Astra Serif" w:cs="Times New Roman"/>
          <w:sz w:val="24"/>
          <w:szCs w:val="24"/>
        </w:rPr>
        <w:t xml:space="preserve">независимой </w:t>
      </w:r>
      <w:proofErr w:type="gramStart"/>
      <w:r w:rsidRPr="002D49D6">
        <w:rPr>
          <w:rFonts w:ascii="PT Astra Serif" w:hAnsi="PT Astra Serif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C15762" w:rsidRPr="002D49D6" w:rsidRDefault="00C15762" w:rsidP="00215BB4">
      <w:pPr>
        <w:pStyle w:val="western"/>
        <w:spacing w:after="0" w:line="240" w:lineRule="auto"/>
        <w:ind w:firstLine="709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2D49D6">
        <w:rPr>
          <w:rFonts w:ascii="PT Astra Serif" w:hAnsi="PT Astra Serif" w:cs="Times New Roman"/>
          <w:bCs/>
          <w:sz w:val="24"/>
          <w:szCs w:val="24"/>
        </w:rPr>
        <w:t xml:space="preserve">по улучшению </w:t>
      </w:r>
      <w:proofErr w:type="gramStart"/>
      <w:r w:rsidRPr="002D49D6">
        <w:rPr>
          <w:rFonts w:ascii="PT Astra Serif" w:hAnsi="PT Astra Serif" w:cs="Times New Roman"/>
          <w:bCs/>
          <w:sz w:val="24"/>
          <w:szCs w:val="24"/>
        </w:rPr>
        <w:t>качества условий осуществления деятельности образовательной организации</w:t>
      </w:r>
      <w:proofErr w:type="gramEnd"/>
    </w:p>
    <w:p w:rsidR="00632705" w:rsidRPr="002D49D6" w:rsidRDefault="00632705" w:rsidP="00215BB4">
      <w:pPr>
        <w:pStyle w:val="western"/>
        <w:spacing w:after="0" w:line="240" w:lineRule="auto"/>
        <w:ind w:firstLine="709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C15762" w:rsidRPr="002D49D6" w:rsidRDefault="00C15762" w:rsidP="00C15762">
      <w:pPr>
        <w:spacing w:line="240" w:lineRule="auto"/>
        <w:contextualSpacing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4800" w:type="dxa"/>
        <w:tblLook w:val="04A0"/>
      </w:tblPr>
      <w:tblGrid>
        <w:gridCol w:w="93"/>
        <w:gridCol w:w="10307"/>
        <w:gridCol w:w="3883"/>
        <w:gridCol w:w="451"/>
        <w:gridCol w:w="66"/>
      </w:tblGrid>
      <w:tr w:rsidR="005C1701" w:rsidRPr="003B73BA" w:rsidTr="002569BF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1" w:rsidRPr="00437144" w:rsidRDefault="005C1701" w:rsidP="00437144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Наименование организации: </w:t>
            </w:r>
            <w:r w:rsidR="00437144" w:rsidRPr="0043714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МАУ ДО «Спортивная школа №1» г</w:t>
            </w:r>
            <w:proofErr w:type="gramStart"/>
            <w:r w:rsidR="00437144" w:rsidRPr="0043714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="0043714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43714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амбова</w:t>
            </w:r>
          </w:p>
        </w:tc>
      </w:tr>
      <w:tr w:rsidR="00C877CE" w:rsidRPr="003B73BA" w:rsidTr="002569BF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7CE" w:rsidRPr="003B73BA" w:rsidRDefault="00C877CE" w:rsidP="00EC6DE5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Организация-оператор: </w:t>
            </w:r>
            <w:r w:rsidR="003B73BA"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компания </w:t>
            </w:r>
            <w:proofErr w:type="spellStart"/>
            <w:r w:rsidR="003B73BA"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Polevik</w:t>
            </w:r>
            <w:proofErr w:type="spellEnd"/>
            <w:r w:rsidR="003B73BA"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73BA"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Полевик</w:t>
            </w:r>
            <w:proofErr w:type="spellEnd"/>
            <w:r w:rsidR="003B73BA"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) - индивидуальный предприниматель </w:t>
            </w:r>
            <w:proofErr w:type="spellStart"/>
            <w:r w:rsidR="003B73BA"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Петраченков</w:t>
            </w:r>
            <w:proofErr w:type="spellEnd"/>
            <w:r w:rsidR="003B73BA"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="003B73BA"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Эльдарович</w:t>
            </w:r>
            <w:proofErr w:type="spellEnd"/>
            <w:r w:rsidR="003B73BA"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г. Москва</w:t>
            </w:r>
          </w:p>
        </w:tc>
      </w:tr>
      <w:tr w:rsidR="00C877CE" w:rsidRPr="003B73BA" w:rsidTr="002569BF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6C5" w:rsidRPr="003B73BA" w:rsidRDefault="00C877CE" w:rsidP="008136C5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 w:rsid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 w:rsid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 w:rsid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="00C46241"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.0</w:t>
            </w:r>
            <w:r w:rsid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 w:rsid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C1701" w:rsidRPr="003B73BA" w:rsidTr="0025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5C1701" w:rsidRPr="003B73BA" w:rsidRDefault="005C1701" w:rsidP="00EC6DE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5C1701" w:rsidRPr="003B73BA" w:rsidTr="0025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C1701" w:rsidRPr="003B73BA" w:rsidRDefault="005C1701" w:rsidP="00EC6DE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5C1701" w:rsidRPr="003B73BA" w:rsidRDefault="005C1701" w:rsidP="00EC6DE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5C1701" w:rsidRPr="003B73BA" w:rsidTr="003B7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C1701" w:rsidRPr="003B73BA" w:rsidRDefault="005C1701" w:rsidP="005C1701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C1701" w:rsidRPr="003B73BA" w:rsidRDefault="00437144" w:rsidP="0080229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5C1701" w:rsidRPr="003B73BA" w:rsidTr="003B7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C1701" w:rsidRPr="003B73BA" w:rsidRDefault="005C1701" w:rsidP="005C1701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C1701" w:rsidRPr="003B73BA" w:rsidRDefault="00437144" w:rsidP="0080229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5C1701" w:rsidRPr="003B73BA" w:rsidTr="003B7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C1701" w:rsidRPr="003B73BA" w:rsidRDefault="005C1701" w:rsidP="005C1701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C1701" w:rsidRPr="003B73BA" w:rsidRDefault="00437144" w:rsidP="0080229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98,8</w:t>
            </w:r>
          </w:p>
        </w:tc>
      </w:tr>
      <w:tr w:rsidR="005C1701" w:rsidRPr="003B73BA" w:rsidTr="003B7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C1701" w:rsidRPr="003B73BA" w:rsidRDefault="005C1701" w:rsidP="005C1701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C1701" w:rsidRPr="003B73BA" w:rsidRDefault="00437144" w:rsidP="0080229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5C1701" w:rsidRPr="003B73BA" w:rsidTr="003B7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C1701" w:rsidRPr="003B73BA" w:rsidRDefault="005C1701" w:rsidP="005C1701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C1701" w:rsidRPr="003B73BA" w:rsidRDefault="00437144" w:rsidP="0080229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96,1</w:t>
            </w:r>
          </w:p>
        </w:tc>
      </w:tr>
      <w:tr w:rsidR="005C1701" w:rsidRPr="003B73BA" w:rsidTr="003B7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C1701" w:rsidRPr="003B73BA" w:rsidRDefault="005C1701" w:rsidP="005C1701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C1701" w:rsidRPr="003B73BA" w:rsidRDefault="00437144" w:rsidP="008022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97,08</w:t>
            </w:r>
          </w:p>
        </w:tc>
      </w:tr>
    </w:tbl>
    <w:p w:rsidR="008136C5" w:rsidRPr="002D49D6" w:rsidRDefault="008136C5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8136C5" w:rsidRPr="002D49D6" w:rsidRDefault="008136C5" w:rsidP="00AA21DD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C227EE" w:rsidRDefault="00C227EE" w:rsidP="00C227EE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</w:t>
      </w:r>
      <w:proofErr w:type="gramEnd"/>
      <w:r w:rsidRPr="00EA7A01">
        <w:rPr>
          <w:rFonts w:ascii="PT Astra Serif" w:hAnsi="PT Astra Serif" w:cs="Times New Roman"/>
          <w:sz w:val="24"/>
          <w:szCs w:val="24"/>
        </w:rPr>
        <w:t xml:space="preserve">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194932" w:rsidRDefault="00194932" w:rsidP="00194932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194932" w:rsidRPr="002D49D6" w:rsidRDefault="00194932" w:rsidP="00105791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26CAC" w:rsidRDefault="00426CAC" w:rsidP="00AA21DD">
      <w:pPr>
        <w:spacing w:line="240" w:lineRule="auto"/>
        <w:ind w:right="-45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437144" w:rsidRDefault="00194932" w:rsidP="00437144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lastRenderedPageBreak/>
        <w:t>По результатам оценки критери</w:t>
      </w:r>
      <w:r w:rsidR="00437144">
        <w:rPr>
          <w:rFonts w:ascii="PT Astra Serif" w:hAnsi="PT Astra Serif" w:cs="Times New Roman"/>
          <w:b/>
          <w:bCs/>
          <w:color w:val="000000"/>
          <w:sz w:val="24"/>
          <w:szCs w:val="24"/>
        </w:rPr>
        <w:t>ев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>»</w:t>
      </w:r>
      <w:r w:rsidR="00437144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</w:t>
      </w:r>
      <w:r w:rsidR="00437144" w:rsidRPr="00284445">
        <w:rPr>
          <w:rFonts w:ascii="PT Astra Serif" w:hAnsi="PT Astra Serif" w:cs="Times New Roman"/>
          <w:b/>
          <w:sz w:val="24"/>
          <w:szCs w:val="24"/>
        </w:rPr>
        <w:t>«Д</w:t>
      </w:r>
      <w:r w:rsidR="00437144">
        <w:rPr>
          <w:rFonts w:ascii="PT Astra Serif" w:hAnsi="PT Astra Serif" w:cs="Times New Roman"/>
          <w:b/>
          <w:sz w:val="24"/>
          <w:szCs w:val="24"/>
        </w:rPr>
        <w:t xml:space="preserve">оступность услуг для инвалидов»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обратить внимание на уровень удовлетворенности получателей услуг</w:t>
      </w:r>
      <w:r w:rsidR="00437144"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437144" w:rsidRPr="002D49D6" w:rsidRDefault="00437144" w:rsidP="00437144">
      <w:pPr>
        <w:spacing w:after="0" w:line="240" w:lineRule="auto"/>
        <w:ind w:right="-457"/>
        <w:contextualSpacing/>
        <w:jc w:val="both"/>
        <w:rPr>
          <w:rFonts w:ascii="PT Astra Serif" w:hAnsi="PT Astra Serif"/>
          <w:b/>
        </w:rPr>
      </w:pPr>
    </w:p>
    <w:p w:rsidR="00426CAC" w:rsidRPr="00437144" w:rsidRDefault="00632705" w:rsidP="00437144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D49D6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/>
      </w:tblPr>
      <w:tblGrid>
        <w:gridCol w:w="11877"/>
        <w:gridCol w:w="1564"/>
        <w:gridCol w:w="1268"/>
      </w:tblGrid>
      <w:tr w:rsidR="00632705" w:rsidRPr="002D49D6" w:rsidTr="00EC6DE5">
        <w:tc>
          <w:tcPr>
            <w:tcW w:w="11877" w:type="dxa"/>
          </w:tcPr>
          <w:p w:rsidR="00632705" w:rsidRPr="002D49D6" w:rsidRDefault="00632705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632705" w:rsidRPr="002D49D6" w:rsidRDefault="00632705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632705" w:rsidRPr="002D49D6" w:rsidRDefault="00632705" w:rsidP="00EC6DE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632705" w:rsidRPr="002D49D6" w:rsidRDefault="00632705" w:rsidP="00EC6DE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632705" w:rsidRPr="002D49D6" w:rsidRDefault="00632705" w:rsidP="00EC6DE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632705" w:rsidRPr="002D49D6" w:rsidTr="00EC6DE5">
        <w:tc>
          <w:tcPr>
            <w:tcW w:w="11877" w:type="dxa"/>
          </w:tcPr>
          <w:p w:rsidR="0055545E" w:rsidRPr="002D49D6" w:rsidRDefault="0055545E" w:rsidP="0055545E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632705" w:rsidRPr="002D49D6" w:rsidRDefault="0055545E" w:rsidP="0055545E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D49D6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632705" w:rsidRPr="002D49D6" w:rsidRDefault="00437144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68" w:type="dxa"/>
          </w:tcPr>
          <w:p w:rsidR="00632705" w:rsidRPr="002D49D6" w:rsidRDefault="00632705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632705" w:rsidRPr="002D49D6" w:rsidTr="00EC6DE5">
        <w:tc>
          <w:tcPr>
            <w:tcW w:w="11877" w:type="dxa"/>
          </w:tcPr>
          <w:p w:rsidR="0055545E" w:rsidRPr="002D49D6" w:rsidRDefault="0055545E" w:rsidP="0055545E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632705" w:rsidRPr="002D49D6" w:rsidRDefault="0055545E" w:rsidP="0055545E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D49D6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632705" w:rsidRPr="002D49D6" w:rsidRDefault="00437144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268" w:type="dxa"/>
          </w:tcPr>
          <w:p w:rsidR="00632705" w:rsidRPr="002D49D6" w:rsidRDefault="00632705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632705" w:rsidRPr="002D49D6" w:rsidTr="00EC6DE5">
        <w:tc>
          <w:tcPr>
            <w:tcW w:w="11877" w:type="dxa"/>
            <w:tcBorders>
              <w:bottom w:val="single" w:sz="4" w:space="0" w:color="auto"/>
            </w:tcBorders>
          </w:tcPr>
          <w:p w:rsidR="00632705" w:rsidRPr="002D49D6" w:rsidRDefault="00632705" w:rsidP="00EC6DE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632705" w:rsidRPr="002D49D6" w:rsidRDefault="00632705" w:rsidP="00EC6DE5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D49D6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632705" w:rsidRPr="002D49D6" w:rsidRDefault="00437144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32705" w:rsidRPr="002D49D6" w:rsidRDefault="00632705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632705" w:rsidRPr="002D49D6" w:rsidTr="00EC6DE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2705" w:rsidRDefault="00632705" w:rsidP="00EC6DE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  <w:p w:rsidR="00426CAC" w:rsidRPr="002D49D6" w:rsidRDefault="00426CAC" w:rsidP="00EC6DE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632705" w:rsidRPr="002D49D6" w:rsidRDefault="00437144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32705" w:rsidRPr="002D49D6" w:rsidRDefault="00632705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32705" w:rsidRPr="002D49D6" w:rsidTr="00EC6DE5">
        <w:tc>
          <w:tcPr>
            <w:tcW w:w="11877" w:type="dxa"/>
            <w:tcBorders>
              <w:top w:val="single" w:sz="4" w:space="0" w:color="auto"/>
            </w:tcBorders>
          </w:tcPr>
          <w:p w:rsidR="00632705" w:rsidRPr="002D49D6" w:rsidRDefault="00632705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632705" w:rsidRPr="002D49D6" w:rsidRDefault="00632705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32705" w:rsidRPr="002D49D6" w:rsidRDefault="00632705" w:rsidP="00EC6DE5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32705" w:rsidRPr="002D49D6" w:rsidRDefault="00632705" w:rsidP="00EC6DE5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632705" w:rsidRPr="002D49D6" w:rsidRDefault="00632705" w:rsidP="00EC6DE5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632705" w:rsidRPr="002D49D6" w:rsidTr="00EC6DE5">
        <w:tc>
          <w:tcPr>
            <w:tcW w:w="11877" w:type="dxa"/>
          </w:tcPr>
          <w:p w:rsidR="00632705" w:rsidRPr="002D49D6" w:rsidRDefault="00CD62FA" w:rsidP="00EC6DE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D49D6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D49D6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</w:t>
            </w:r>
            <w:proofErr w:type="gramStart"/>
            <w:r w:rsidRPr="002D49D6">
              <w:rPr>
                <w:rFonts w:ascii="PT Astra Serif" w:hAnsi="PT Astra Serif" w:cs="Times New Roman"/>
                <w:i/>
                <w:sz w:val="24"/>
                <w:szCs w:val="24"/>
              </w:rPr>
              <w:t>образовательную</w:t>
            </w:r>
            <w:proofErr w:type="gramEnd"/>
            <w:r w:rsidRPr="002D49D6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организацию родственникам и знакомым, </w:t>
            </w: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632705" w:rsidRPr="002D49D6" w:rsidRDefault="00437144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268" w:type="dxa"/>
          </w:tcPr>
          <w:p w:rsidR="00632705" w:rsidRPr="002D49D6" w:rsidRDefault="00CD62FA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</w:t>
            </w:r>
            <w:r w:rsidR="00632705"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32705" w:rsidRPr="002D49D6" w:rsidTr="00EC6DE5">
        <w:tc>
          <w:tcPr>
            <w:tcW w:w="11877" w:type="dxa"/>
          </w:tcPr>
          <w:p w:rsidR="00632705" w:rsidRPr="002D49D6" w:rsidRDefault="00632705" w:rsidP="00EC6DE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D49D6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632705" w:rsidRPr="002D49D6" w:rsidRDefault="00437144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:rsidR="00632705" w:rsidRPr="002D49D6" w:rsidRDefault="00CD62FA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</w:t>
            </w:r>
            <w:r w:rsidR="00632705"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32705" w:rsidRPr="002D49D6" w:rsidTr="00EC6DE5">
        <w:tc>
          <w:tcPr>
            <w:tcW w:w="11877" w:type="dxa"/>
            <w:tcBorders>
              <w:bottom w:val="single" w:sz="4" w:space="0" w:color="auto"/>
            </w:tcBorders>
          </w:tcPr>
          <w:p w:rsidR="00632705" w:rsidRPr="002D49D6" w:rsidRDefault="00CD62FA" w:rsidP="00EC6DE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D49D6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632705" w:rsidRPr="002D49D6" w:rsidRDefault="00437144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8" w:type="dxa"/>
          </w:tcPr>
          <w:p w:rsidR="00632705" w:rsidRPr="002D49D6" w:rsidRDefault="00CD62FA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</w:t>
            </w:r>
            <w:r w:rsidR="00632705" w:rsidRPr="002D49D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32705" w:rsidRPr="002D49D6" w:rsidTr="00EC6DE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2705" w:rsidRPr="002D49D6" w:rsidRDefault="00632705" w:rsidP="00EC6DE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632705" w:rsidRPr="002D49D6" w:rsidRDefault="00437144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68" w:type="dxa"/>
          </w:tcPr>
          <w:p w:rsidR="00632705" w:rsidRPr="002D49D6" w:rsidRDefault="00632705" w:rsidP="00EC6DE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CD62FA" w:rsidRPr="002D49D6" w:rsidRDefault="00CD62FA" w:rsidP="00CD62FA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CD62FA" w:rsidRPr="002D49D6" w:rsidRDefault="00CD62FA" w:rsidP="00CD62FA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- провести </w:t>
      </w:r>
      <w:proofErr w:type="spellStart"/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анализусловий</w:t>
      </w:r>
      <w:proofErr w:type="spellEnd"/>
      <w:r w:rsidRPr="002D49D6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D49D6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D49D6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8136C5" w:rsidRDefault="00CD62FA" w:rsidP="00CD62FA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D49D6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sectPr w:rsidR="008136C5" w:rsidSect="00686A69">
      <w:footerReference w:type="default" r:id="rId7"/>
      <w:pgSz w:w="16838" w:h="11906" w:orient="landscape"/>
      <w:pgMar w:top="851" w:right="1134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3E" w:rsidRDefault="00DD393E" w:rsidP="0091252B">
      <w:pPr>
        <w:spacing w:after="0" w:line="240" w:lineRule="auto"/>
      </w:pPr>
      <w:r>
        <w:separator/>
      </w:r>
    </w:p>
  </w:endnote>
  <w:endnote w:type="continuationSeparator" w:id="0">
    <w:p w:rsidR="00DD393E" w:rsidRDefault="00DD393E" w:rsidP="0091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0989"/>
    </w:sdtPr>
    <w:sdtContent>
      <w:p w:rsidR="00EC3780" w:rsidRDefault="00367779">
        <w:pPr>
          <w:pStyle w:val="a7"/>
          <w:jc w:val="right"/>
        </w:pPr>
        <w:r>
          <w:rPr>
            <w:noProof/>
          </w:rPr>
          <w:fldChar w:fldCharType="begin"/>
        </w:r>
        <w:r w:rsidR="00EC378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0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3780" w:rsidRDefault="00EC37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3E" w:rsidRDefault="00DD393E" w:rsidP="0091252B">
      <w:pPr>
        <w:spacing w:after="0" w:line="240" w:lineRule="auto"/>
      </w:pPr>
      <w:r>
        <w:separator/>
      </w:r>
    </w:p>
  </w:footnote>
  <w:footnote w:type="continuationSeparator" w:id="0">
    <w:p w:rsidR="00DD393E" w:rsidRDefault="00DD393E" w:rsidP="0091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17BE"/>
    <w:multiLevelType w:val="hybridMultilevel"/>
    <w:tmpl w:val="15EA1EF6"/>
    <w:lvl w:ilvl="0" w:tplc="53D6C4EC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">
    <w:nsid w:val="45D13372"/>
    <w:multiLevelType w:val="hybridMultilevel"/>
    <w:tmpl w:val="E8EEA946"/>
    <w:lvl w:ilvl="0" w:tplc="3B301188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>
    <w:nsid w:val="596D00B9"/>
    <w:multiLevelType w:val="hybridMultilevel"/>
    <w:tmpl w:val="1EF86A10"/>
    <w:lvl w:ilvl="0" w:tplc="22AC797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>
    <w:nsid w:val="62312C2E"/>
    <w:multiLevelType w:val="hybridMultilevel"/>
    <w:tmpl w:val="525C0184"/>
    <w:lvl w:ilvl="0" w:tplc="4F4C730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4">
    <w:nsid w:val="648A49EB"/>
    <w:multiLevelType w:val="hybridMultilevel"/>
    <w:tmpl w:val="70862F3E"/>
    <w:lvl w:ilvl="0" w:tplc="4F4C730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>
    <w:nsid w:val="67307BF6"/>
    <w:multiLevelType w:val="hybridMultilevel"/>
    <w:tmpl w:val="29505AD2"/>
    <w:lvl w:ilvl="0" w:tplc="CC6E368C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>
    <w:nsid w:val="6964692C"/>
    <w:multiLevelType w:val="hybridMultilevel"/>
    <w:tmpl w:val="C06463CA"/>
    <w:lvl w:ilvl="0" w:tplc="1FA45462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79B8485A"/>
    <w:multiLevelType w:val="hybridMultilevel"/>
    <w:tmpl w:val="42647E4E"/>
    <w:lvl w:ilvl="0" w:tplc="4F4C730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762"/>
    <w:rsid w:val="00007C4E"/>
    <w:rsid w:val="000155ED"/>
    <w:rsid w:val="00071A41"/>
    <w:rsid w:val="00074DAB"/>
    <w:rsid w:val="00092E91"/>
    <w:rsid w:val="0009583E"/>
    <w:rsid w:val="000D28C0"/>
    <w:rsid w:val="000D63E0"/>
    <w:rsid w:val="000E196D"/>
    <w:rsid w:val="00100247"/>
    <w:rsid w:val="00101B33"/>
    <w:rsid w:val="001052D2"/>
    <w:rsid w:val="00105791"/>
    <w:rsid w:val="00143F29"/>
    <w:rsid w:val="0016625C"/>
    <w:rsid w:val="00176F35"/>
    <w:rsid w:val="001858DB"/>
    <w:rsid w:val="00194932"/>
    <w:rsid w:val="001A376E"/>
    <w:rsid w:val="00207171"/>
    <w:rsid w:val="00215BB4"/>
    <w:rsid w:val="002279D5"/>
    <w:rsid w:val="002324CE"/>
    <w:rsid w:val="00246D1C"/>
    <w:rsid w:val="002569BF"/>
    <w:rsid w:val="00271D0E"/>
    <w:rsid w:val="002B3504"/>
    <w:rsid w:val="002B67B2"/>
    <w:rsid w:val="002C4F71"/>
    <w:rsid w:val="002D49D6"/>
    <w:rsid w:val="002D76A8"/>
    <w:rsid w:val="002E5610"/>
    <w:rsid w:val="00311D6F"/>
    <w:rsid w:val="00315D54"/>
    <w:rsid w:val="00340B5B"/>
    <w:rsid w:val="00367779"/>
    <w:rsid w:val="0038122A"/>
    <w:rsid w:val="00383C34"/>
    <w:rsid w:val="003A40C6"/>
    <w:rsid w:val="003B0668"/>
    <w:rsid w:val="003B607A"/>
    <w:rsid w:val="003B73BA"/>
    <w:rsid w:val="003C5038"/>
    <w:rsid w:val="003C786D"/>
    <w:rsid w:val="0040593F"/>
    <w:rsid w:val="00422D1A"/>
    <w:rsid w:val="00426CAC"/>
    <w:rsid w:val="00437144"/>
    <w:rsid w:val="004649CA"/>
    <w:rsid w:val="00474B33"/>
    <w:rsid w:val="004849E2"/>
    <w:rsid w:val="004E516A"/>
    <w:rsid w:val="004F5FB2"/>
    <w:rsid w:val="00500B8A"/>
    <w:rsid w:val="00504440"/>
    <w:rsid w:val="00531AA7"/>
    <w:rsid w:val="00537006"/>
    <w:rsid w:val="0055545E"/>
    <w:rsid w:val="00557D61"/>
    <w:rsid w:val="00565B26"/>
    <w:rsid w:val="00591D3E"/>
    <w:rsid w:val="005A091E"/>
    <w:rsid w:val="005A12E7"/>
    <w:rsid w:val="005C1701"/>
    <w:rsid w:val="005D726C"/>
    <w:rsid w:val="005E362F"/>
    <w:rsid w:val="005E6B9B"/>
    <w:rsid w:val="00601041"/>
    <w:rsid w:val="00605582"/>
    <w:rsid w:val="006107C5"/>
    <w:rsid w:val="00613B87"/>
    <w:rsid w:val="0062341A"/>
    <w:rsid w:val="006263E7"/>
    <w:rsid w:val="00632205"/>
    <w:rsid w:val="006323FD"/>
    <w:rsid w:val="00632705"/>
    <w:rsid w:val="00632DB6"/>
    <w:rsid w:val="00644499"/>
    <w:rsid w:val="006801A4"/>
    <w:rsid w:val="00686A69"/>
    <w:rsid w:val="006D3017"/>
    <w:rsid w:val="00747911"/>
    <w:rsid w:val="007815D7"/>
    <w:rsid w:val="007B3358"/>
    <w:rsid w:val="007C0F03"/>
    <w:rsid w:val="007D21AD"/>
    <w:rsid w:val="007E6EAE"/>
    <w:rsid w:val="007F1D87"/>
    <w:rsid w:val="007F6CD3"/>
    <w:rsid w:val="0080229B"/>
    <w:rsid w:val="00812D38"/>
    <w:rsid w:val="008136C5"/>
    <w:rsid w:val="00840A84"/>
    <w:rsid w:val="00854AE0"/>
    <w:rsid w:val="00854F75"/>
    <w:rsid w:val="00855A3F"/>
    <w:rsid w:val="00880C92"/>
    <w:rsid w:val="008826E6"/>
    <w:rsid w:val="008850F8"/>
    <w:rsid w:val="008A178F"/>
    <w:rsid w:val="008C476E"/>
    <w:rsid w:val="008D74FA"/>
    <w:rsid w:val="009015C5"/>
    <w:rsid w:val="00904A2D"/>
    <w:rsid w:val="00910D53"/>
    <w:rsid w:val="0091252B"/>
    <w:rsid w:val="009332BD"/>
    <w:rsid w:val="00974417"/>
    <w:rsid w:val="00982F02"/>
    <w:rsid w:val="00995CA2"/>
    <w:rsid w:val="00995D2A"/>
    <w:rsid w:val="009A0B96"/>
    <w:rsid w:val="00A067CF"/>
    <w:rsid w:val="00A35E99"/>
    <w:rsid w:val="00A37A8C"/>
    <w:rsid w:val="00A44E2C"/>
    <w:rsid w:val="00A616C1"/>
    <w:rsid w:val="00A71029"/>
    <w:rsid w:val="00A8399B"/>
    <w:rsid w:val="00A90215"/>
    <w:rsid w:val="00A91FB4"/>
    <w:rsid w:val="00A949CF"/>
    <w:rsid w:val="00AA1BFD"/>
    <w:rsid w:val="00AA21DD"/>
    <w:rsid w:val="00AA6DE1"/>
    <w:rsid w:val="00AB2215"/>
    <w:rsid w:val="00AB640D"/>
    <w:rsid w:val="00B008FC"/>
    <w:rsid w:val="00B0485B"/>
    <w:rsid w:val="00B75815"/>
    <w:rsid w:val="00B80634"/>
    <w:rsid w:val="00B86D8B"/>
    <w:rsid w:val="00BA5765"/>
    <w:rsid w:val="00BA7D45"/>
    <w:rsid w:val="00BD321C"/>
    <w:rsid w:val="00C14CAE"/>
    <w:rsid w:val="00C15762"/>
    <w:rsid w:val="00C227EE"/>
    <w:rsid w:val="00C46241"/>
    <w:rsid w:val="00C6522F"/>
    <w:rsid w:val="00C73304"/>
    <w:rsid w:val="00C7624C"/>
    <w:rsid w:val="00C83097"/>
    <w:rsid w:val="00C877CE"/>
    <w:rsid w:val="00C90B03"/>
    <w:rsid w:val="00CA2F78"/>
    <w:rsid w:val="00CD62FA"/>
    <w:rsid w:val="00CF2A75"/>
    <w:rsid w:val="00D00BD6"/>
    <w:rsid w:val="00D50CE9"/>
    <w:rsid w:val="00D94CDE"/>
    <w:rsid w:val="00DB7F41"/>
    <w:rsid w:val="00DC0AB4"/>
    <w:rsid w:val="00DD393E"/>
    <w:rsid w:val="00DD583B"/>
    <w:rsid w:val="00DD5F0B"/>
    <w:rsid w:val="00DE634B"/>
    <w:rsid w:val="00E04DEA"/>
    <w:rsid w:val="00E124FC"/>
    <w:rsid w:val="00E1317E"/>
    <w:rsid w:val="00E404F3"/>
    <w:rsid w:val="00E868DE"/>
    <w:rsid w:val="00EA0ACA"/>
    <w:rsid w:val="00EA180A"/>
    <w:rsid w:val="00EB33D8"/>
    <w:rsid w:val="00EB3F9B"/>
    <w:rsid w:val="00EC3780"/>
    <w:rsid w:val="00EC3A3E"/>
    <w:rsid w:val="00EC6DE5"/>
    <w:rsid w:val="00F039D9"/>
    <w:rsid w:val="00F15365"/>
    <w:rsid w:val="00F270C9"/>
    <w:rsid w:val="00F5352E"/>
    <w:rsid w:val="00F60141"/>
    <w:rsid w:val="00F83DB2"/>
    <w:rsid w:val="00F92C6A"/>
    <w:rsid w:val="00FA1850"/>
    <w:rsid w:val="00FA5590"/>
    <w:rsid w:val="00FC2BF2"/>
    <w:rsid w:val="00FC7203"/>
    <w:rsid w:val="00FE1DC5"/>
    <w:rsid w:val="00FF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15762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854A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52B"/>
  </w:style>
  <w:style w:type="paragraph" w:styleId="a7">
    <w:name w:val="footer"/>
    <w:basedOn w:val="a"/>
    <w:link w:val="a8"/>
    <w:uiPriority w:val="99"/>
    <w:unhideWhenUsed/>
    <w:rsid w:val="009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52B"/>
  </w:style>
  <w:style w:type="paragraph" w:styleId="a9">
    <w:name w:val="Normal (Web)"/>
    <w:basedOn w:val="a"/>
    <w:uiPriority w:val="99"/>
    <w:unhideWhenUsed/>
    <w:rsid w:val="00C6522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4F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0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А.С</dc:creator>
  <cp:lastModifiedBy>Валентина</cp:lastModifiedBy>
  <cp:revision>2</cp:revision>
  <cp:lastPrinted>2019-12-26T06:17:00Z</cp:lastPrinted>
  <dcterms:created xsi:type="dcterms:W3CDTF">2024-01-30T12:24:00Z</dcterms:created>
  <dcterms:modified xsi:type="dcterms:W3CDTF">2024-01-30T12:24:00Z</dcterms:modified>
</cp:coreProperties>
</file>